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rPr>
          <w:rtl/>
        </w:rPr>
      </w:pPr>
      <w:r>
        <w:rPr>
          <w:rFonts w:hint="cs"/>
          <w:rtl/>
        </w:rPr>
        <w:t>אובדן העצמאות</w:t>
      </w:r>
    </w:p>
    <w:p>
      <w:pPr>
        <w:jc w:val="center"/>
        <w:rPr>
          <w:rtl/>
        </w:rPr>
      </w:pPr>
    </w:p>
    <w:p>
      <w:pPr>
        <w:jc w:val="both"/>
        <w:rPr>
          <w:rtl/>
        </w:rPr>
      </w:pPr>
      <w:r>
        <w:rPr>
          <w:rFonts w:hint="cs"/>
          <w:rtl/>
        </w:rPr>
        <w:t>בימים אלה, חוגג עם ישראל את יום העצמאות ה-73, ומה מצבו של המשפט העברי במדינת ישראל:</w:t>
      </w:r>
    </w:p>
    <w:p>
      <w:pPr>
        <w:pStyle w:val="iu"/>
        <w:numPr>
          <w:ilvl w:val="0"/>
          <w:numId w:val="2"/>
        </w:numPr>
        <w:shd w:val="clear" w:color="auto" w:fill="FFFFFF"/>
        <w:bidi/>
        <w:spacing w:line="276" w:lineRule="auto"/>
        <w:jc w:val="both"/>
        <w:rPr>
          <w:rFonts w:eastAsiaTheme="minorHAnsi"/>
          <w:b/>
          <w:bCs/>
        </w:rPr>
      </w:pPr>
      <w:r>
        <w:rPr>
          <w:rFonts w:eastAsiaTheme="minorHAnsi" w:hint="cs"/>
          <w:b/>
          <w:bCs/>
          <w:rtl/>
        </w:rPr>
        <w:t>בבתי דין רבניים:</w:t>
      </w:r>
    </w:p>
    <w:p>
      <w:pPr>
        <w:pStyle w:val="iu"/>
        <w:shd w:val="clear" w:color="auto" w:fill="FFFFFF"/>
        <w:bidi/>
        <w:spacing w:line="276" w:lineRule="auto"/>
        <w:ind w:left="720"/>
        <w:jc w:val="both"/>
        <w:rPr>
          <w:rFonts w:eastAsiaTheme="minorHAnsi"/>
          <w:rtl/>
        </w:rPr>
      </w:pPr>
      <w:r>
        <w:rPr>
          <w:rFonts w:eastAsiaTheme="minorHAnsi" w:hint="cs"/>
          <w:rtl/>
        </w:rPr>
        <w:t>בבג"ץ</w:t>
      </w:r>
      <w:r>
        <w:rPr>
          <w:rFonts w:eastAsiaTheme="minorHAnsi"/>
          <w:rtl/>
        </w:rPr>
        <w:t xml:space="preserve"> סימה אמיר</w:t>
      </w:r>
      <w:r>
        <w:rPr>
          <w:rFonts w:eastAsiaTheme="minorHAnsi" w:hint="cs"/>
          <w:rtl/>
        </w:rPr>
        <w:t>, קבעה</w:t>
      </w:r>
      <w:r>
        <w:rPr>
          <w:rFonts w:eastAsiaTheme="minorHAnsi"/>
          <w:rtl/>
        </w:rPr>
        <w:t xml:space="preserve"> השופטת א' פרוקצ'יה </w:t>
      </w:r>
      <w:r>
        <w:rPr>
          <w:rFonts w:eastAsiaTheme="minorHAnsi" w:hint="cs"/>
          <w:rtl/>
        </w:rPr>
        <w:t xml:space="preserve">כי </w:t>
      </w:r>
      <w:r>
        <w:rPr>
          <w:rFonts w:eastAsiaTheme="minorHAnsi"/>
          <w:rtl/>
        </w:rPr>
        <w:t xml:space="preserve">בתי דין רבניים אינם מוסמכים לדון כבוררים בסכסוכים כספיים ובנושאים נוספים שהחוק לא הסמיך אותם לדון בהם. </w:t>
      </w:r>
    </w:p>
    <w:p>
      <w:pPr>
        <w:pStyle w:val="iu"/>
        <w:shd w:val="clear" w:color="auto" w:fill="FFFFFF"/>
        <w:bidi/>
        <w:spacing w:line="276" w:lineRule="auto"/>
        <w:ind w:left="720"/>
        <w:jc w:val="both"/>
        <w:rPr>
          <w:rFonts w:eastAsiaTheme="minorHAnsi"/>
          <w:rtl/>
        </w:rPr>
      </w:pPr>
      <w:r>
        <w:rPr>
          <w:rFonts w:eastAsiaTheme="minorHAnsi"/>
          <w:rtl/>
        </w:rPr>
        <w:t xml:space="preserve">פסק דין תקדימי </w:t>
      </w:r>
      <w:r>
        <w:rPr>
          <w:rFonts w:eastAsiaTheme="minorHAnsi" w:hint="cs"/>
          <w:rtl/>
        </w:rPr>
        <w:t xml:space="preserve">זה </w:t>
      </w:r>
      <w:r>
        <w:rPr>
          <w:rFonts w:eastAsiaTheme="minorHAnsi"/>
          <w:rtl/>
        </w:rPr>
        <w:t>חולל מהפכה וכרסם באופן משמעותי בהיקף סמכויותיהם של בתי הדין הרבניי</w:t>
      </w:r>
      <w:r>
        <w:rPr>
          <w:rFonts w:eastAsiaTheme="minorHAnsi" w:hint="cs"/>
          <w:rtl/>
        </w:rPr>
        <w:t>ם</w:t>
      </w:r>
      <w:r>
        <w:rPr>
          <w:rFonts w:eastAsiaTheme="minorHAnsi"/>
        </w:rPr>
        <w:t>.</w:t>
      </w:r>
    </w:p>
    <w:p>
      <w:pPr>
        <w:pStyle w:val="iu"/>
        <w:shd w:val="clear" w:color="auto" w:fill="FFFFFF"/>
        <w:bidi/>
        <w:spacing w:line="276" w:lineRule="auto"/>
        <w:ind w:left="720"/>
        <w:jc w:val="both"/>
        <w:rPr>
          <w:rFonts w:eastAsiaTheme="minorHAnsi"/>
          <w:rtl/>
        </w:rPr>
      </w:pPr>
      <w:r>
        <w:rPr>
          <w:rFonts w:eastAsiaTheme="minorHAnsi" w:hint="cs"/>
          <w:rtl/>
        </w:rPr>
        <w:t>בכך, נתקעה, במדינת ישראל, מסורת עתיקת יומין, שראתה בבית דין סמכות רוחנית, תורנית ולאומית המוסמכת לדון דין תורה בין שני יהודים.</w:t>
      </w:r>
    </w:p>
    <w:p>
      <w:pPr>
        <w:pStyle w:val="iu"/>
        <w:shd w:val="clear" w:color="auto" w:fill="FFFFFF"/>
        <w:bidi/>
        <w:spacing w:line="276" w:lineRule="auto"/>
        <w:ind w:left="720"/>
        <w:jc w:val="both"/>
        <w:rPr>
          <w:rFonts w:eastAsiaTheme="minorHAnsi"/>
          <w:rtl/>
        </w:rPr>
      </w:pPr>
      <w:r>
        <w:rPr>
          <w:rFonts w:eastAsiaTheme="minorHAnsi" w:hint="cs"/>
          <w:rtl/>
        </w:rPr>
        <w:t xml:space="preserve">ואפילו, כאשר הצדדיים מסכימים להתדיין בבית דין רבני, אין יותר לבית דין רבני </w:t>
      </w:r>
      <w:r>
        <w:rPr>
          <w:rFonts w:eastAsiaTheme="minorHAnsi" w:hint="cs"/>
          <w:rtl/>
        </w:rPr>
        <w:t>סמכות</w:t>
      </w:r>
      <w:r>
        <w:rPr>
          <w:rFonts w:eastAsiaTheme="minorHAnsi" w:hint="cs"/>
          <w:rtl/>
        </w:rPr>
        <w:t>, מאז פס"ד פרוקציה.</w:t>
      </w:r>
    </w:p>
    <w:p>
      <w:pPr>
        <w:pStyle w:val="a3"/>
        <w:numPr>
          <w:ilvl w:val="0"/>
          <w:numId w:val="2"/>
        </w:numPr>
        <w:jc w:val="both"/>
        <w:rPr>
          <w:b/>
          <w:bCs/>
        </w:rPr>
      </w:pPr>
      <w:r>
        <w:rPr>
          <w:rFonts w:hint="cs"/>
          <w:b/>
          <w:bCs/>
          <w:rtl/>
        </w:rPr>
        <w:t>בבתי דין לממונות:</w:t>
      </w:r>
    </w:p>
    <w:p>
      <w:pPr>
        <w:pStyle w:val="a3"/>
        <w:jc w:val="both"/>
        <w:rPr>
          <w:rtl/>
        </w:rPr>
      </w:pPr>
    </w:p>
    <w:p>
      <w:pPr>
        <w:pStyle w:val="a3"/>
        <w:jc w:val="both"/>
        <w:rPr>
          <w:rtl/>
        </w:rPr>
      </w:pPr>
      <w:r>
        <w:rPr>
          <w:rFonts w:hint="cs"/>
          <w:rtl/>
        </w:rPr>
        <w:lastRenderedPageBreak/>
        <w:t>ב"ה יש מספר רב של בתי דין לממונות בישראל.</w:t>
      </w:r>
    </w:p>
    <w:p>
      <w:pPr>
        <w:ind w:firstLine="720"/>
        <w:jc w:val="both"/>
        <w:rPr>
          <w:rtl/>
        </w:rPr>
      </w:pPr>
      <w:r>
        <w:rPr>
          <w:rFonts w:hint="cs"/>
          <w:rtl/>
        </w:rPr>
        <w:t xml:space="preserve">כתב </w:t>
      </w:r>
      <w:r>
        <w:rPr>
          <w:rFonts w:hint="cs"/>
          <w:b/>
          <w:bCs/>
          <w:rtl/>
        </w:rPr>
        <w:t>הרה"ג יועזר אריאל</w:t>
      </w:r>
      <w:r>
        <w:rPr>
          <w:rFonts w:hint="cs"/>
          <w:rtl/>
        </w:rPr>
        <w:t xml:space="preserve"> בספרו "דיני בוררות", עמ' תמט.</w:t>
      </w:r>
    </w:p>
    <w:p>
      <w:pPr>
        <w:ind w:left="720"/>
        <w:jc w:val="both"/>
        <w:rPr>
          <w:rtl/>
        </w:rPr>
      </w:pPr>
      <w:r>
        <w:rPr>
          <w:rFonts w:hint="cs"/>
          <w:rtl/>
        </w:rPr>
        <w:t>"</w:t>
      </w:r>
      <w:r>
        <w:rPr>
          <w:rtl/>
        </w:rPr>
        <w:t>יש לציין שאילולא לא נחקק חוק הבוררות היה פסק דינו של בי</w:t>
      </w:r>
      <w:r>
        <w:rPr>
          <w:rFonts w:hint="cs"/>
          <w:rtl/>
        </w:rPr>
        <w:t>ת דין</w:t>
      </w:r>
      <w:r>
        <w:rPr>
          <w:rtl/>
        </w:rPr>
        <w:t xml:space="preserve"> הדן על פי דין תורה ניתן לחוכא ואיטלולא כי הצד </w:t>
      </w:r>
      <w:r>
        <w:rPr>
          <w:rFonts w:hint="cs"/>
          <w:rtl/>
        </w:rPr>
        <w:t>המחויב</w:t>
      </w:r>
      <w:r>
        <w:rPr>
          <w:rtl/>
        </w:rPr>
        <w:t xml:space="preserve"> לשלם לא היה ממהר לבצע או שכלל לא היה מבצע את פסק הדין</w:t>
      </w:r>
      <w:r>
        <w:rPr>
          <w:rFonts w:hint="cs"/>
          <w:rtl/>
        </w:rPr>
        <w:t>.</w:t>
      </w:r>
    </w:p>
    <w:p>
      <w:pPr>
        <w:ind w:left="720"/>
        <w:jc w:val="both"/>
        <w:rPr>
          <w:rtl/>
        </w:rPr>
      </w:pPr>
      <w:r>
        <w:rPr>
          <w:rtl/>
        </w:rPr>
        <w:t>כמו כן חלק גדול מהציבור</w:t>
      </w:r>
      <w:r>
        <w:rPr>
          <w:rFonts w:hint="cs"/>
          <w:rtl/>
        </w:rPr>
        <w:t xml:space="preserve"> היה </w:t>
      </w:r>
      <w:r>
        <w:rPr>
          <w:rtl/>
        </w:rPr>
        <w:t>נמנע מלתבוע בדין תורה כיון שביה"ד לא היה מוסמך לאכוף את הצדדים לבצע את פסק הדין</w:t>
      </w:r>
      <w:r>
        <w:rPr>
          <w:rFonts w:hint="cs"/>
          <w:rtl/>
        </w:rPr>
        <w:t>.</w:t>
      </w:r>
    </w:p>
    <w:p>
      <w:pPr>
        <w:ind w:left="720"/>
        <w:jc w:val="both"/>
        <w:rPr>
          <w:rtl/>
        </w:rPr>
      </w:pPr>
      <w:r>
        <w:rPr>
          <w:rtl/>
        </w:rPr>
        <w:t>לכן חסד גדול עשה הקב"ה עם דורנו ונתן סמכויות מכה החוק לבתי הדין הדנים לפי דין תורה והעמיד משפטי הדת על תלם</w:t>
      </w:r>
      <w:r>
        <w:rPr>
          <w:rFonts w:hint="cs"/>
          <w:rtl/>
        </w:rPr>
        <w:t>,</w:t>
      </w:r>
      <w:r>
        <w:rPr>
          <w:rtl/>
        </w:rPr>
        <w:t xml:space="preserve"> וכשם שהעמיד לנו שופטים על פי דין תורה כך גם העמיד לעזרתם שוטרים המוציאים את דין התורה לפועל</w:t>
      </w:r>
      <w:r>
        <w:rPr>
          <w:rFonts w:hint="cs"/>
          <w:rtl/>
        </w:rPr>
        <w:t>".</w:t>
      </w:r>
    </w:p>
    <w:p>
      <w:pPr>
        <w:pStyle w:val="a3"/>
        <w:jc w:val="both"/>
        <w:rPr>
          <w:rtl/>
        </w:rPr>
      </w:pPr>
      <w:r>
        <w:rPr>
          <w:rFonts w:hint="cs"/>
          <w:rtl/>
        </w:rPr>
        <w:t xml:space="preserve">כיום, כל בתי דין לממונות פועלים </w:t>
      </w:r>
      <w:r>
        <w:rPr>
          <w:rFonts w:hint="cs"/>
          <w:rtl/>
        </w:rPr>
        <w:t>תחת</w:t>
      </w:r>
      <w:r>
        <w:rPr>
          <w:rFonts w:hint="cs"/>
          <w:rtl/>
        </w:rPr>
        <w:t xml:space="preserve"> חוק </w:t>
      </w:r>
      <w:r>
        <w:rPr>
          <w:rFonts w:eastAsia="Times New Roman" w:hint="cs"/>
          <w:rtl/>
        </w:rPr>
        <w:t xml:space="preserve">הבוררות, תשכ"ח </w:t>
      </w:r>
      <w:r>
        <w:rPr>
          <w:rFonts w:eastAsia="Times New Roman"/>
          <w:rtl/>
        </w:rPr>
        <w:t>–</w:t>
      </w:r>
      <w:r>
        <w:rPr>
          <w:rFonts w:eastAsia="Times New Roman" w:hint="cs"/>
          <w:rtl/>
        </w:rPr>
        <w:t xml:space="preserve"> 1966</w:t>
      </w:r>
      <w:r>
        <w:rPr>
          <w:rFonts w:hint="cs"/>
          <w:rtl/>
        </w:rPr>
        <w:t xml:space="preserve">. </w:t>
      </w:r>
    </w:p>
    <w:p>
      <w:pPr>
        <w:pStyle w:val="a3"/>
        <w:jc w:val="both"/>
        <w:rPr>
          <w:rtl/>
        </w:rPr>
      </w:pPr>
    </w:p>
    <w:p>
      <w:pPr>
        <w:pStyle w:val="a3"/>
        <w:jc w:val="both"/>
        <w:rPr>
          <w:rtl/>
        </w:rPr>
      </w:pPr>
      <w:r>
        <w:rPr>
          <w:rFonts w:hint="cs"/>
          <w:rtl/>
        </w:rPr>
        <w:t>המסגרת שנבחרה, מרצון, ע"י בתי הדין לממונות, הנה מסגרת הבוררות, ולא בכדי: זאת היתה הדרך שבלעדי</w:t>
      </w:r>
      <w:r>
        <w:rPr>
          <w:rFonts w:hint="eastAsia"/>
          <w:rtl/>
        </w:rPr>
        <w:t>ה</w:t>
      </w:r>
      <w:r>
        <w:rPr>
          <w:rFonts w:hint="cs"/>
          <w:rtl/>
        </w:rPr>
        <w:t xml:space="preserve"> אי אפשר לאכוף פסקי בתי הדין, וממילא אין משמעות לדין תורה בישראל.</w:t>
      </w:r>
    </w:p>
    <w:p>
      <w:pPr>
        <w:pStyle w:val="a3"/>
        <w:jc w:val="both"/>
        <w:rPr>
          <w:rtl/>
        </w:rPr>
      </w:pPr>
    </w:p>
    <w:p>
      <w:pPr>
        <w:pStyle w:val="a3"/>
        <w:jc w:val="both"/>
        <w:rPr>
          <w:rtl/>
        </w:rPr>
      </w:pPr>
      <w:r>
        <w:rPr>
          <w:rFonts w:hint="cs"/>
          <w:rtl/>
        </w:rPr>
        <w:t>'</w:t>
      </w:r>
      <w:r>
        <w:rPr>
          <w:rtl/>
        </w:rPr>
        <w:t>חסד גדול עשה הקב"ה עם דורנו</w:t>
      </w:r>
      <w:r>
        <w:rPr>
          <w:rFonts w:hint="cs"/>
          <w:rtl/>
        </w:rPr>
        <w:t>'. אלא שמשנכנסו בתי הדין לממונות תחת מטרית חוק הבוררות:</w:t>
      </w:r>
    </w:p>
    <w:p>
      <w:pPr>
        <w:pStyle w:val="a3"/>
        <w:jc w:val="both"/>
        <w:rPr>
          <w:rtl/>
        </w:rPr>
      </w:pPr>
    </w:p>
    <w:p>
      <w:pPr>
        <w:pStyle w:val="a3"/>
        <w:numPr>
          <w:ilvl w:val="2"/>
          <w:numId w:val="2"/>
        </w:numPr>
        <w:jc w:val="both"/>
      </w:pPr>
      <w:r>
        <w:rPr>
          <w:rFonts w:hint="cs"/>
          <w:rtl/>
        </w:rPr>
        <w:t xml:space="preserve">בתי הדין לממונות אבדו את עצמאותם. על פי חוק הבוררות, </w:t>
      </w:r>
    </w:p>
    <w:p>
      <w:pPr>
        <w:pStyle w:val="a3"/>
        <w:ind w:left="2160"/>
        <w:jc w:val="both"/>
      </w:pPr>
    </w:p>
    <w:p>
      <w:pPr>
        <w:pStyle w:val="a3"/>
        <w:numPr>
          <w:ilvl w:val="3"/>
          <w:numId w:val="2"/>
        </w:numPr>
        <w:jc w:val="both"/>
      </w:pPr>
      <w:r>
        <w:rPr>
          <w:rFonts w:hint="cs"/>
          <w:rtl/>
        </w:rPr>
        <w:t>פסק בורר כפוף לביקורת של בתי המשפט, שיכול לאשר אותו או לבטל אותו.</w:t>
      </w:r>
    </w:p>
    <w:p>
      <w:pPr>
        <w:pStyle w:val="a3"/>
        <w:numPr>
          <w:ilvl w:val="3"/>
          <w:numId w:val="2"/>
        </w:numPr>
        <w:jc w:val="both"/>
      </w:pPr>
      <w:r>
        <w:rPr>
          <w:rFonts w:hint="cs"/>
          <w:rtl/>
        </w:rPr>
        <w:t>כדי שפסק בורר יהיה אכיף, עליו להיות מאושר ע"י בית המשפט. בדיונים אלה בפני בתי משפט, שיכולים להמשך שנים, התובע, שכבר זכה בדין תורה, חייב לעבור, לא פעם, דיון מחדש עפ"י חוק המדינה.</w:t>
      </w:r>
    </w:p>
    <w:p>
      <w:pPr>
        <w:pStyle w:val="a3"/>
        <w:ind w:left="2880"/>
        <w:jc w:val="both"/>
      </w:pPr>
      <w:r>
        <w:rPr>
          <w:rFonts w:hint="cs"/>
          <w:rtl/>
        </w:rPr>
        <w:t xml:space="preserve"> </w:t>
      </w:r>
    </w:p>
    <w:p>
      <w:pPr>
        <w:pStyle w:val="a3"/>
        <w:numPr>
          <w:ilvl w:val="3"/>
          <w:numId w:val="2"/>
        </w:numPr>
        <w:jc w:val="both"/>
      </w:pPr>
      <w:r>
        <w:rPr>
          <w:rFonts w:hint="cs"/>
          <w:rtl/>
        </w:rPr>
        <w:t xml:space="preserve">דייני בית הדין לממוניות עלולים לבא בעל כרחם ולתת דין וחשבון על פסיקתם, לפני שופטי בית המשפט. </w:t>
      </w:r>
    </w:p>
    <w:p>
      <w:pPr>
        <w:pStyle w:val="a3"/>
        <w:ind w:left="2880"/>
        <w:jc w:val="both"/>
        <w:rPr>
          <w:rtl/>
        </w:rPr>
      </w:pPr>
    </w:p>
    <w:p>
      <w:pPr>
        <w:pStyle w:val="a3"/>
        <w:numPr>
          <w:ilvl w:val="2"/>
          <w:numId w:val="2"/>
        </w:numPr>
        <w:jc w:val="both"/>
      </w:pPr>
      <w:r>
        <w:rPr>
          <w:rFonts w:hint="cs"/>
          <w:rtl/>
        </w:rPr>
        <w:t xml:space="preserve">יותר ויותר, הוכנסו בדיוני </w:t>
      </w:r>
      <w:r>
        <w:rPr>
          <w:rFonts w:hint="cs"/>
          <w:rtl/>
        </w:rPr>
        <w:t xml:space="preserve">בתי הדין לממונות </w:t>
      </w:r>
      <w:r>
        <w:rPr>
          <w:rFonts w:hint="cs"/>
          <w:rtl/>
        </w:rPr>
        <w:t>ערכים של המערכת המשפטית של המדינה, אותה השתדלו הצדדים להרחיק בלכתם לדין תורה.</w:t>
      </w:r>
      <w:r>
        <w:rPr>
          <w:rFonts w:hint="cs"/>
          <w:rtl/>
        </w:rPr>
        <w:t xml:space="preserve"> </w:t>
      </w:r>
    </w:p>
    <w:p>
      <w:pPr>
        <w:pStyle w:val="a3"/>
        <w:ind w:left="2880"/>
        <w:jc w:val="both"/>
        <w:rPr>
          <w:rtl/>
        </w:rPr>
      </w:pPr>
    </w:p>
    <w:p>
      <w:pPr>
        <w:pStyle w:val="a3"/>
        <w:numPr>
          <w:ilvl w:val="3"/>
          <w:numId w:val="2"/>
        </w:numPr>
        <w:jc w:val="both"/>
      </w:pPr>
      <w:r>
        <w:rPr>
          <w:rFonts w:hint="cs"/>
          <w:rtl/>
        </w:rPr>
        <w:t>סדרי דין, שנחשבים לתקנים יותר מאלה של המשפט  עברי, הונחתו בבתי הדין לממנות</w:t>
      </w:r>
      <w:r>
        <w:rPr>
          <w:rFonts w:hint="cs"/>
          <w:rtl/>
        </w:rPr>
        <w:t xml:space="preserve"> </w:t>
      </w:r>
      <w:r>
        <w:rPr>
          <w:rFonts w:hint="cs"/>
          <w:rtl/>
        </w:rPr>
        <w:t>תחת הדרישה של תקינות, שקיפות, התאמה לנורמות מתחדשות.</w:t>
      </w:r>
    </w:p>
    <w:p>
      <w:pPr>
        <w:pStyle w:val="a3"/>
        <w:ind w:left="2880"/>
        <w:jc w:val="both"/>
      </w:pPr>
      <w:r>
        <w:rPr>
          <w:rFonts w:hint="cs"/>
          <w:rtl/>
        </w:rPr>
        <w:t xml:space="preserve"> </w:t>
      </w:r>
    </w:p>
    <w:p>
      <w:pPr>
        <w:pStyle w:val="a3"/>
        <w:numPr>
          <w:ilvl w:val="3"/>
          <w:numId w:val="2"/>
        </w:numPr>
        <w:jc w:val="both"/>
      </w:pPr>
      <w:r>
        <w:rPr>
          <w:rFonts w:hint="cs"/>
          <w:rtl/>
        </w:rPr>
        <w:t>הדין המהותי התורני נדרש להתאים את עצמו לרוח הזמן. הצמדה, הוצאות, נזקי גרמא הפכו למחויבי המציאות. לא היה בדרישות אלה פגם כלשהו לולא הן באו ממערכת משפטית עליונה אל מערכת משפטית שעבר זמנה.</w:t>
      </w:r>
    </w:p>
    <w:p>
      <w:pPr>
        <w:pStyle w:val="a3"/>
        <w:ind w:left="2880"/>
        <w:jc w:val="both"/>
        <w:rPr>
          <w:rtl/>
        </w:rPr>
      </w:pPr>
    </w:p>
    <w:p>
      <w:pPr>
        <w:pStyle w:val="a3"/>
        <w:numPr>
          <w:ilvl w:val="2"/>
          <w:numId w:val="2"/>
        </w:numPr>
        <w:jc w:val="both"/>
      </w:pPr>
      <w:r>
        <w:rPr>
          <w:rFonts w:hint="cs"/>
          <w:rtl/>
        </w:rPr>
        <w:t>אך יותר מכל דבר אחר, דין תורה, הנהוג ב</w:t>
      </w:r>
      <w:r>
        <w:rPr>
          <w:rFonts w:hint="cs"/>
          <w:rtl/>
        </w:rPr>
        <w:t>בתי הדין לממונות</w:t>
      </w:r>
      <w:r>
        <w:rPr>
          <w:rFonts w:hint="cs"/>
          <w:rtl/>
        </w:rPr>
        <w:t>,</w:t>
      </w:r>
      <w:r>
        <w:rPr>
          <w:rFonts w:hint="cs"/>
          <w:rtl/>
        </w:rPr>
        <w:t xml:space="preserve"> </w:t>
      </w:r>
      <w:r>
        <w:rPr>
          <w:rFonts w:hint="cs"/>
          <w:rtl/>
        </w:rPr>
        <w:t>הפסיק לשאוף להיות הדין הלאומי של עם ישראל. דין תורה הפך להיות דין גלותי, שחי בחסדי הריבון, במקרה ריבון יהודי.</w:t>
      </w:r>
    </w:p>
    <w:p>
      <w:pPr>
        <w:pStyle w:val="a3"/>
        <w:ind w:left="2160"/>
        <w:jc w:val="both"/>
      </w:pPr>
      <w:r>
        <w:rPr>
          <w:rFonts w:hint="cs"/>
          <w:rtl/>
        </w:rPr>
        <w:t xml:space="preserve"> </w:t>
      </w:r>
    </w:p>
    <w:p>
      <w:pPr>
        <w:pStyle w:val="a3"/>
        <w:numPr>
          <w:ilvl w:val="2"/>
          <w:numId w:val="2"/>
        </w:numPr>
        <w:jc w:val="both"/>
      </w:pPr>
      <w:r>
        <w:rPr>
          <w:rFonts w:hint="cs"/>
          <w:rtl/>
        </w:rPr>
        <w:t xml:space="preserve">אין הבדל היום בין בתי דין לממונות, הקיימים במדינת ישראל, לאלה הפועלים בצרפת, באנגליה ובארה"ב. </w:t>
      </w:r>
    </w:p>
    <w:p>
      <w:pPr>
        <w:jc w:val="both"/>
      </w:pPr>
      <w:r>
        <w:rPr>
          <w:rFonts w:hint="cs"/>
          <w:rtl/>
        </w:rPr>
        <w:t>'</w:t>
      </w:r>
      <w:r>
        <w:rPr>
          <w:rtl/>
        </w:rPr>
        <w:t>חסד גדול עשה הקב"ה עם דורנו</w:t>
      </w:r>
      <w:r>
        <w:rPr>
          <w:rFonts w:hint="cs"/>
          <w:rtl/>
        </w:rPr>
        <w:t>'</w:t>
      </w:r>
      <w:r>
        <w:rPr>
          <w:rFonts w:hint="cs"/>
          <w:rtl/>
        </w:rPr>
        <w:t xml:space="preserve"> שהקים לנו מדינה בארץ ישראל, אבל ספק אם נחה דעתו מחוק הבוררות, תשכ"ח </w:t>
      </w:r>
      <w:r>
        <w:rPr>
          <w:rtl/>
        </w:rPr>
        <w:t>–</w:t>
      </w:r>
      <w:r>
        <w:rPr>
          <w:rFonts w:hint="cs"/>
          <w:rtl/>
        </w:rPr>
        <w:t xml:space="preserve"> 1968. </w:t>
      </w:r>
      <w:r>
        <w:rPr>
          <w:rFonts w:hint="cs"/>
          <w:rtl/>
        </w:rPr>
        <w:t xml:space="preserve"> </w:t>
      </w:r>
    </w:p>
    <w:p>
      <w:pPr>
        <w:pStyle w:val="a3"/>
        <w:ind w:left="2880"/>
        <w:jc w:val="both"/>
        <w:rPr>
          <w:rFonts w:hint="cs"/>
          <w:rtl/>
        </w:rPr>
      </w:pPr>
    </w:p>
    <w:sect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C0E89"/>
    <w:multiLevelType w:val="hybridMultilevel"/>
    <w:tmpl w:val="0E647932"/>
    <w:lvl w:ilvl="0" w:tplc="8B3AB988">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4E2A57"/>
    <w:multiLevelType w:val="hybridMultilevel"/>
    <w:tmpl w:val="041E3A7E"/>
    <w:lvl w:ilvl="0" w:tplc="00AC168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97106-1599-402A-9B1E-914F314A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pPr>
      <w:bidi w:val="0"/>
      <w:spacing w:before="100" w:beforeAutospacing="1" w:after="100" w:afterAutospacing="1" w:line="240" w:lineRule="auto"/>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Pr>
      <w:rFonts w:eastAsia="Times New Roman"/>
      <w:b/>
      <w:bCs/>
      <w:sz w:val="27"/>
      <w:szCs w:val="27"/>
    </w:rPr>
  </w:style>
  <w:style w:type="character" w:styleId="Hyperlink">
    <w:name w:val="Hyperlink"/>
    <w:basedOn w:val="a0"/>
    <w:uiPriority w:val="99"/>
    <w:semiHidden/>
    <w:unhideWhenUsed/>
    <w:rPr>
      <w:color w:val="0000FF"/>
      <w:u w:val="single"/>
    </w:rPr>
  </w:style>
  <w:style w:type="paragraph" w:styleId="a3">
    <w:name w:val="List Paragraph"/>
    <w:basedOn w:val="a"/>
    <w:uiPriority w:val="34"/>
    <w:qFormat/>
    <w:pPr>
      <w:ind w:left="720"/>
      <w:contextualSpacing/>
    </w:pPr>
  </w:style>
  <w:style w:type="paragraph" w:customStyle="1" w:styleId="iu">
    <w:name w:val="iu"/>
    <w:basedOn w:val="a"/>
    <w:pPr>
      <w:bidi w:val="0"/>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138693">
      <w:bodyDiv w:val="1"/>
      <w:marLeft w:val="0"/>
      <w:marRight w:val="0"/>
      <w:marTop w:val="0"/>
      <w:marBottom w:val="0"/>
      <w:divBdr>
        <w:top w:val="none" w:sz="0" w:space="0" w:color="auto"/>
        <w:left w:val="none" w:sz="0" w:space="0" w:color="auto"/>
        <w:bottom w:val="none" w:sz="0" w:space="0" w:color="auto"/>
        <w:right w:val="none" w:sz="0" w:space="0" w:color="auto"/>
      </w:divBdr>
    </w:div>
    <w:div w:id="1873496336">
      <w:bodyDiv w:val="1"/>
      <w:marLeft w:val="0"/>
      <w:marRight w:val="0"/>
      <w:marTop w:val="0"/>
      <w:marBottom w:val="0"/>
      <w:divBdr>
        <w:top w:val="none" w:sz="0" w:space="0" w:color="auto"/>
        <w:left w:val="none" w:sz="0" w:space="0" w:color="auto"/>
        <w:bottom w:val="none" w:sz="0" w:space="0" w:color="auto"/>
        <w:right w:val="none" w:sz="0" w:space="0" w:color="auto"/>
      </w:divBdr>
    </w:div>
    <w:div w:id="192803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BFE75-1846-400C-BAAD-6C79275B1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448</Words>
  <Characters>2243</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Shalom Attali</dc:creator>
  <cp:keywords/>
  <dc:description/>
  <cp:lastModifiedBy>Shalom Attali</cp:lastModifiedBy>
  <cp:revision>2</cp:revision>
  <dcterms:created xsi:type="dcterms:W3CDTF">2021-04-19T06:22:00Z</dcterms:created>
  <dcterms:modified xsi:type="dcterms:W3CDTF">2021-04-19T09:46:00Z</dcterms:modified>
</cp:coreProperties>
</file>